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45.png" ContentType="image/png"/>
  <Override PartName="/word/media/rId44.png" ContentType="image/png"/>
  <Override PartName="/word/media/rId42.png" ContentType="image/png"/>
  <Override PartName="/word/media/rId24.png" ContentType="image/png"/>
  <Override PartName="/word/media/rId32.png" ContentType="image/png"/>
  <Override PartName="/word/media/rId31.png" ContentType="image/png"/>
  <Override PartName="/word/media/rId34.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2016-10-25</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both</w:t>
      </w:r>
      <w:r>
        <w:t xml:space="preserve"> </w:t>
      </w:r>
      <w:r>
        <w:t xml:space="preserve">the</w:t>
      </w:r>
      <w:r>
        <w:t xml:space="preserve"> </w:t>
      </w:r>
      <w:r>
        <w:t xml:space="preserve">mammalian</w:t>
      </w:r>
      <w:r>
        <w:t xml:space="preserve"> </w:t>
      </w:r>
      <w:r>
        <w:t xml:space="preserve">and</w:t>
      </w:r>
      <w:r>
        <w:t xml:space="preserve"> </w:t>
      </w:r>
      <w:r>
        <w:t xml:space="preserve">shellfish</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fluctuation.</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the</w:t>
      </w:r>
      <w:r>
        <w:t xml:space="preserve"> </w:t>
      </w:r>
      <w:r>
        <w:t xml:space="preserve">Neolithic.</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(SEA) is the nature of the transition from forager economies to agricultural economies (Higham et al. 2011; White and Bouasisengpaseuth 2008). As a key milestone in complex human-environment interactions, this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Hutterer 1976),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 is sparsely represented in the archaeological record. Southeast Asia has a rich and well-documented archaeological record for the later Holocene, when people were living more sedentary lifestyles, for example at Khok Phanom Di in Thailand and Man Bac in Vietnam (Higham and Bannanurang 1991; Oxenham et al. 2011). There are also many cave and rockshelter sites representing Pleistocene forager lifestyles, such as Tham Lod in Thailand and Xom Trai in Vietnam (Shoocongdej 2006; Moser 2001).</w:t>
      </w:r>
    </w:p>
    <w:p>
      <w:pPr>
        <w:pStyle w:val="BodyText"/>
      </w:pPr>
      <w:r>
        <w:t xml:space="preserve">However, during the middle Holocene, the archaeological record in mainland SEA is particularly sparse. This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and settlements expanded from primarily karstic upland and estuarine landscapes during the early Holocene to include inland alluvial lowland villages by the late Holocene (White 2011). But the sparse representation of this period in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relatively detailed history of regional sea level change. This provides a unique opportunity to investigate locally contingent factors, such as the effect of sea level changes on human subsistence behaviours during the transition from forager to agricultural economies. We report on a geoarchaeological analysis of the site to provide a local environmental context of the human occupation. This analysis also aids our understanding of site formation processes and artefact taphonomy.</w:t>
      </w:r>
    </w:p>
    <w:p>
      <w:pPr>
        <w:pStyle w:val="Heading2"/>
      </w:pPr>
      <w:bookmarkStart w:id="23" w:name="background"/>
      <w:bookmarkEnd w:id="23"/>
      <w:r>
        <w:t xml:space="preserve">Background</w:t>
      </w:r>
    </w:p>
    <w:p>
      <w:pPr>
        <w:pStyle w:val="FirstParagraph"/>
      </w:pPr>
      <w:r>
        <w:t xml:space="preserve">During the Holocene, the primary loci of archaeological evidence in SEA changes from caves and rockshelters to open-air sites (cf. Conrad 2015; Higham 2014). This shift in settlement behaviours has been proposed to be a direct result of the transition to agriculture (White 1995), and is evident in surrounding regions. The Guangxi Province of southern China has extensive evidence of a forager economy with a semi-sedentary lifestyle during c. 7-4 k BP (Higham 2013). Cave occupation continues until 6 k BP in Xianrendong and 5–4 k BP in Zengpiyan, and more than 30 open sites containing shell middens have been found on the terraces of the Zuojiang, Youjiang and Yongjiang rivers near Nanning, in southern Guangxi (Chi and Hung 2012; Fu 2002). Occupation of these sites, characterized by the largest, Dingsishan, spans 10-5.5 k BP.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3.8-3.5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only 12.3-10.6 k BP (Rabett et al. 2011). At sites in Thailand, there is a gap between cave occupation and open site occupation. At Lang Rongrien rockshelter, in southern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Lloyd-Smith 2014). A key challenge here is that the human burials disturb the stratigraphy, making it difficult to assess continuity between forager occupation and later activity. There is also the possibility that open air sites were continuously occupied in the same way, but have been destroyed due to weather exposure and marine inundation. At extant open air sites, the record starts at around 4 k BP, for example at Khok Phanom Di (Higham and Thosarat 2004) and Nong Nor (Higham and Thosarat 1998), both near the Bang Pakong River, southeast of Bangkok, and at Ban Non Wat in northeast of Thailand (Higham and Kijngam 2011). Occupation at these sites is characterized by human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Documented accounts of this highstand occur in the Straits of Malacca (Streif 1979; Geyh et al. 1979; Hesp et al. 1998), Phuket in southwest Thailand (Scoffin and Le Tissier 1998), and the Malay Peninsula (Tjia 1996; Kamaludin 2001). A combination of the geoidal eustacy and hydro- and glacio-isostacy activity in this region caused the sea level highstand, with magnitude up to +5 m in some locations.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 k BP to a maximum of 2 m amsl at 2.5 k BP. Regression continued from that time until the present sea levels were reached at 1.5 k BP.</w:t>
      </w:r>
    </w:p>
    <w:p>
      <w:pPr>
        <w:pStyle w:val="BodyText"/>
      </w:pPr>
      <w:r>
        <w:t xml:space="preserve">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Thai-Malay Peninsula. Scoffin and Le Tissier (1998) dated 11 intertidal reef-flat corals (microatolls) to identify a +1 m highstand at about 6 k BP in Phuket, southern Thailand.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 BP, the sea level rose from 0 m to +5 m along the Sunda Shelf, marking the regional mid-Holocene highstand. Following this highstand, the sea level fell gradually and reached the modern level at about 1 k BP. Therefore, the low landscape, such as in the Pang Nga region, makes the coastal karst of Krabi well-suited for assessing local environmental change on human groups during a time of major transitions in subsistence, from foragers to agriculturalists.</w:t>
      </w:r>
    </w:p>
    <w:p>
      <w:pPr>
        <w:pStyle w:val="BodyText"/>
      </w:pPr>
      <w:r>
        <w:t xml:space="preserve">Previous research into archaeological correlates of these sea level changes in peninsular Thailand have been summarized by Anderson (2005). He describes faunal evidence from Lang Rongrien that has increases in marine shellfish abundances around 7.5 k BP and between 4.0 k and 2.5 k BP. Anderson proposes that the increases in marine shellfish at the site are probably related to increases in sea levels. A small number of other sites have been previously investigated in several provinces of peninsular Thailand. For example, Moh Khiew in Krabi with human remains at 25 k BP (Auetrakulvit et al. 2012; Chitkament 2007; Matsumara and Pookajorn 2005; Pookajorn 1994), Tham Khao Khi Chan in Surat Thani Province has occupation layers dating from 6.06 k BP to 4.25 k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5.25 k and 4.75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at these sites provides neither a clear picture of stratigraphic integrity, nor their subsistence behaviour. The goal of our work at Khao Toh Chong was to build on this previous research by analysing an assemblage spanning the Holocene, and by conducting geoarchaeological analyses at the site to assess stratigraphic integrity and provide local environmental context of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Map data are from Google and DigitalGlobe, via ggmap (Kahle and Wickham 2013)."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 Map data are from Google and DigitalGlobe, via ggmap (Kahle and Wickham 2013).</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modern ground surface at Khao Toh Chong rockshelter (Figure</w:t>
      </w:r>
      <w:r>
        <w:t xml:space="preserve"> </w:t>
      </w:r>
      <w:r>
        <w:t xml:space="preserve">1</w:t>
      </w:r>
      <w:r>
        <w:t xml:space="preserve">). Our review of previous work in the region indicated that stratigraphic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arbitrary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steel sheets with 5 mm and 10 mm diameter circular openings.</w:t>
      </w:r>
    </w:p>
    <w:p>
      <w:pPr>
        <w:pStyle w:val="BodyText"/>
      </w:pPr>
      <w:r>
        <w:t xml:space="preserve">Khao Toh Chong rockshelter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These boulders also trap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 below the surface. In trench B, excavations were obstructed by bedrock in the northwest and southwest quadrants. Subsequently, excavation depths in trench B extended to approximately 2.0 m in the northeast and southeast quadrants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 All excavated materials are stored at the Faculty of Archaeology at the University of Silpakorn, Bangkok.</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assist in interpreting the archaeological record, we analysed several physical and chemical attributes of the sediment in the archaeological deposit. Particle size distributions, pH, electrical conductivity (EC), soil organic material (SOM), calcium carbonate content, magnetic susceptibility, X-ray diffraction (XRD) and inductively coupled plasma-atomic emission spectrometry (ICP-AES) can be indicators of changes in the sources of sediments accumulating at the site and the mechanisms of accumulation. Carbon isotopes, fossil pollen and phytoliths are also indicators of vegetation change. In combination, these physical and chemical attributes can help to reveal change or stasis in environmental conditions during the time of human occupation at the site, which can help us understand the relationship between human behaviour and the mid-Holocene highstand event.</w:t>
      </w:r>
    </w:p>
    <w:p>
      <w:pPr>
        <w:pStyle w:val="BodyText"/>
      </w:pPr>
      <w:r>
        <w:t xml:space="preserve">Bulk sediment samples were collected from a column taken from the south wall of excavation trench A. Sub-samples of sediment (1 g) from each context were individually dried at 60°C for 24 hours for particle size analysis. These sub-samples were sieved to remove the &gt;2 mm particles, and the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(UW)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Organic carbon isotopes were analysed by sub-sampling 2 g of sediment which was dried at 60°C for 24 hours, then sieved to remove the &gt;2 mm particle size fraction (Hartman 2011), and macro-organics were manually picked out and discarded. After sieving the samples were ground for 5 minutes using a mortar and pestle. Mineral carbonates were removed by placing the samples in 60 mL of 1 mol HCl for 24 hours, stirring every 10 hours of the 24 hour period (Millwood and Boutton, 1998). The HCl was rinsed from the samples by adding 60 mL of deionized water into the samples for one minute and then drying at 60°C for 48 hours; this step was repeated three times. Isotope measurements were conducted using a Costech Elemental Analyzer, Conflo III, MAT253 at the UW Earth and Space Sciences IsoLab.</w:t>
      </w:r>
    </w:p>
    <w:p>
      <w:pPr>
        <w:pStyle w:val="BodyText"/>
      </w:pPr>
      <w:r>
        <w:t xml:space="preserve">For XRD analysis,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sediment samples were dried for another 60°C for 24 hours. Samples were ground again, then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prepared with an acide digest extraction, following Misarti et al. (2011). The sample was added to 10 mLof HNO</w:t>
      </w:r>
      <w:r>
        <w:rPr>
          <w:vertAlign w:val="subscript"/>
        </w:rPr>
        <w:t xml:space="preserve">3</w:t>
      </w:r>
      <w:r>
        <w:t xml:space="preserve"> </w:t>
      </w:r>
      <w:r>
        <w:t xml:space="preserve">and heated at 90°C for 15 minutes. Another 5 mL of HNO</w:t>
      </w:r>
      <w:r>
        <w:rPr>
          <w:vertAlign w:val="subscript"/>
        </w:rPr>
        <w:t xml:space="preserve">3</w:t>
      </w:r>
      <w:r>
        <w:t xml:space="preserve"> </w:t>
      </w:r>
      <w:r>
        <w:t xml:space="preserve">was next added and heated at 90°C for 60 minutes. Next, deionized water, 30% H</w:t>
      </w:r>
      <w:r>
        <w:rPr>
          <w:vertAlign w:val="subscript"/>
        </w:rPr>
        <w:t xml:space="preserve">2</w:t>
      </w:r>
      <w:r>
        <w:t xml:space="preserve">O</w:t>
      </w:r>
      <w:r>
        <w:rPr>
          <w:vertAlign w:val="subscript"/>
        </w:rPr>
        <w:t xml:space="preserve">2</w:t>
      </w:r>
      <w:r>
        <w:t xml:space="preserve"> </w:t>
      </w:r>
      <w:r>
        <w:t xml:space="preserve">and 10 mL HCl were added and heated for 60 minutes. The samples were then diluted with deionized water and filtered before ICP-AES analysis. This acid digest provides a broad spectrum of elements in a known volumetric concentration, suitable for ICP-AES analysis (Balcerzak, 2002; Carter, 1993). The samples were analyzed in a Perkin Elmer Optima 8300DV in the UW Chemistry Department.</w:t>
      </w:r>
    </w:p>
    <w:p>
      <w:pPr>
        <w:pStyle w:val="BodyText"/>
      </w:pPr>
      <w:r>
        <w:t xml:space="preserve">We were unable to extract quantifiable amounts of fossil pollen from the sediment samples (further details are reported in Van Vlack 2014). This is due to the frequent wetting and drying of the rockshelter deposits which created poor conditions for microfloral preservation. There was inorganic preservation of microflora, based on the presence of phytoliths, but these samples have not yet been analyzed (Van Vlack 2014).</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trench A-southwest quadrant of KTC are reported in Conrad et al. (2013) and Van Vlack (2014). To summarise, we conducted faunal identification using comparative collections at the Natural History Museum, National Science Museum of Thailand. Comparative and reference literature included Auetrakulvit (2004), Brandt (1974), and Lekagul and McNeely (1977). Quantification of the assemblage followed Lyman (2008) for taxonomic abundance (NISP and MNI). Analysis of Shannon’s index was modeled after Magurran (2004), and Pielou’s index was modeled after McCune et al. (2002).</w:t>
      </w:r>
    </w:p>
    <w:p>
      <w:pPr>
        <w:pStyle w:val="Heading3"/>
      </w:pPr>
      <w:bookmarkStart w:id="29" w:name="reproducibility-and-open-source-materials"/>
      <w:bookmarkEnd w:id="29"/>
      <w:r>
        <w:t xml:space="preserve">Reproducibility and open source materials</w:t>
      </w:r>
    </w:p>
    <w:p>
      <w:pPr>
        <w:pStyle w:val="FirstParagraph"/>
      </w:pPr>
      <w:r>
        <w:t xml:space="preserve">To enable re-use of our materials and improve reproducibility and transparency according to the principles outlined in Marwick (2016), we include the entire R code used for all the analysis and visualizations contained in this paper in our SOM at</w:t>
      </w:r>
      <w:r>
        <w:t xml:space="preserve"> </w:t>
      </w:r>
      <w:hyperlink r:id="rId30">
        <w:r>
          <w:rPr>
            <w:rStyle w:val="Hyperlink"/>
          </w:rPr>
          <w:t xml:space="preserve">https://dx.doi.org/10.6084/m9.figshare.2065602.v1</w:t>
        </w:r>
      </w:hyperlink>
      <w:r>
        <w:t xml:space="preserve">. Also in this version-controlled compendium are the raw data for all the tests reported here, as well as a custom R package (Wickham 2015) containing the code written for this paper. All of the figures, tables and statistical test results presented here can be independently reproduced with the code and data in this repository. In our SOM our code is released under the MIT licence, our data as CC-0, and our figures as CC-BY, to enable maximum re-use (for more details about these licences, see Marwick 2016).</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1"/>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2"/>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3" w:name="results"/>
      <w:bookmarkEnd w:id="33"/>
      <w:r>
        <w:t xml:space="preserve">Results</w:t>
      </w:r>
    </w:p>
    <w:p>
      <w:pPr>
        <w:pStyle w:val="FirstParagraph"/>
      </w:pPr>
      <w:r>
        <w:t xml:space="preserve">The key findings from our field observations during the exacavation were that the faunal assemblage was deposited with relatively few macroscopic traces of post-depositional disturbance (Figure</w:t>
      </w:r>
      <w:r>
        <w:t xml:space="preserve"> </w:t>
      </w:r>
      <w:r>
        <w:t xml:space="preserve">3</w:t>
      </w:r>
      <w:r>
        <w:t xml:space="preserve">). We did not encounter any human burials or animal burrows and there was very limited termite activity visible in the deposit. We did not reach bedrock, or sterile deposits, due to time constraints. All excavated materials are currently stored at the Silpakorn University Faculty of Archaeology's Phetchaburi campus.</w:t>
      </w:r>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archaeological excavations at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archaeological excavations at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6" w:name="chronology"/>
      <w:bookmarkEnd w:id="36"/>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ages of these shells are offset from the ages of the charcoal by an average of 3005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16.7 k cal. BP.</w:t>
      </w:r>
    </w:p>
    <w:p>
      <w:pPr>
        <w:pStyle w:val="TableCaption"/>
      </w:pPr>
      <w:r>
        <w:t xml:space="preserve">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w:t>
      </w:r>
    </w:p>
    <w:tbl>
      <w:tblPr>
        <w:tblStyle w:val="TableNormal"/>
        <w:tblW w:type="pct" w:w="0.0"/>
        <w:tblLook w:firstRow="1"/>
        <w:tblCaption w:val="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w:t>
            </w:r>
            <w:r>
              <w:rPr>
                <w:vertAlign w:val="subscript"/>
              </w:rPr>
              <w:t xml:space="preserve">3</w:t>
            </w:r>
          </w:p>
        </w:tc>
        <w:tc>
          <w:tcPr>
            <w:tcBorders>
              <w:bottom w:val="single"/>
            </w:tcBorders>
            <w:vAlign w:val="bottom"/>
          </w:tcPr>
          <w:p>
            <w:pPr>
              <w:pStyle w:val="Compact"/>
              <w:jc w:val="left"/>
            </w:pPr>
            <w:r>
              <w:t xml:space="preserve">X</w:t>
            </w:r>
            <w:r>
              <w:rPr>
                <w:vertAlign w:val="subscript"/>
              </w:rPr>
              <w:t xml:space="preserve">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w:t>
            </w:r>
            <w:r>
              <w:rPr>
                <w:vertAlign w:val="superscript"/>
              </w:rPr>
              <w:t xml:space="preserve">13</w:t>
            </w:r>
            <w:r>
              <w:t xml:space="preserve">C</w:t>
            </w:r>
          </w:p>
        </w:tc>
        <w:tc>
          <w:tcPr>
            <w:tcBorders>
              <w:bottom w:val="single"/>
            </w:tcBorders>
            <w:vAlign w:val="bottom"/>
          </w:tcPr>
          <w:p>
            <w:pPr>
              <w:pStyle w:val="Compact"/>
              <w:jc w:val="left"/>
            </w:pPr>
            <w:r>
              <w:t xml:space="preserve">mean size</w:t>
            </w:r>
          </w:p>
        </w:tc>
        <w:tc>
          <w:tcPr>
            <w:tcBorders>
              <w:bottom w:val="single"/>
            </w:tcBorders>
            <w:vAlign w:val="bottom"/>
          </w:tcPr>
          <w:p>
            <w:pPr>
              <w:pStyle w:val="Compact"/>
              <w:jc w:val="left"/>
            </w:pPr>
            <w:r>
              <w:t xml:space="preserve">sd size</w:t>
            </w:r>
          </w:p>
        </w:tc>
      </w:tr>
      <w:tr>
        <w:tc>
          <w:p>
            <w:pPr>
              <w:pStyle w:val="Compact"/>
              <w:jc w:val="left"/>
            </w:pPr>
            <w:r>
              <w:t xml:space="preserve">pH</w:t>
            </w:r>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w:t>
            </w:r>
            <w:r>
              <w:rPr>
                <w:vertAlign w:val="subscript"/>
              </w:rPr>
              <w:t xml:space="preserve">3</w:t>
            </w:r>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w:t>
            </w:r>
            <w:r>
              <w:rPr>
                <w:vertAlign w:val="subscript"/>
              </w:rPr>
              <w:t xml:space="preserve">lf</w:t>
            </w:r>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w:t>
            </w:r>
            <w:r>
              <w:rPr>
                <w:vertAlign w:val="superscript"/>
              </w:rPr>
              <w:t xml:space="preserve">13</w:t>
            </w:r>
            <w:r>
              <w:t xml:space="preserve">C</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 size</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8" w:name="geoarchaeology"/>
      <w:bookmarkEnd w:id="38"/>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4 of trench A, 0.3 m below surface). Slight fluctuations in particle size distribution and carbonate percentage likely reflect minor variations in contributions from alluvial, fluvial and colluvial inputs -- including limestone eroding from the karst tower (Gale and Hoare 1991). Overall, the picture is of relatively constant and uninterrupted deposition.</w:t>
      </w:r>
    </w:p>
    <w:p>
      <w:pPr>
        <w:pStyle w:val="Heading4"/>
      </w:pPr>
      <w:bookmarkStart w:id="39" w:name="chemical-analyses-and-magnetic-susceptibility"/>
      <w:bookmarkEnd w:id="39"/>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The pH values at KTC are strongly alkaline throughout, with a shift occurring from pH 9.1 to 7.6 between contexts 5 and 6 of trench A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5 of trench A (0.40 m below surface), indicates an enrichment of magnetic minerals in the deposit. Context 5 has the highest proportion of carbonates (12%), which would reduce magnetic susceptibility; the change in this context is not a simple dilution of magnetic minerals by diamagnetic minerals.</w:t>
      </w:r>
    </w:p>
    <w:p>
      <w:pPr>
        <w:pStyle w:val="Heading4"/>
      </w:pPr>
      <w:bookmarkStart w:id="40" w:name="carbon-isotope-analysis"/>
      <w:bookmarkEnd w:id="40"/>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depleted in more recent times (Figure</w:t>
      </w:r>
      <w:r>
        <w:t xml:space="preserve"> </w:t>
      </w:r>
      <w:r>
        <w:t xml:space="preserve">6</w:t>
      </w:r>
      <w:r>
        <w:t xml:space="preserve">). The tissues of C3 plants have δ</w:t>
      </w:r>
      <w:r>
        <w:rPr>
          <w:vertAlign w:val="superscript"/>
        </w:rPr>
        <w:t xml:space="preserve">13</w:t>
      </w:r>
      <w:r>
        <w:t xml:space="preserve">C values ranging from −32‰ to −20‰, while those of C4 plants range from −17‰ to −9‰ (Deines 1980). This indicates an overall dominance of C3 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1" w:name="x-ray-diffraction"/>
      <w:bookmarkEnd w:id="41"/>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contexts 2, 3, and 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p-value are in parentheses. Strong significant correlations are in bold.</w:t>
      </w:r>
    </w:p>
    <w:tbl>
      <w:tblPr>
        <w:tblStyle w:val="TableNormal"/>
        <w:tblW w:type="pct" w:w="0.0"/>
        <w:tblLook w:firstRow="1"/>
        <w:tblCaption w:val="Table 5: Correlation matrix of elements analysed by ICP-AES. Cell values are Pearson's product-moment correlation coefficient and p-value are in parenthes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bl>
    <w:p>
      <w:pPr>
        <w:pStyle w:val="FigureWithCaption"/>
      </w:pPr>
      <w:r>
        <w:drawing>
          <wp:inline>
            <wp:extent cx="4587290" cy="3669832"/>
            <wp:effectExtent b="0" l="0" r="0" t="0"/>
            <wp:docPr descr="Figure 7: Dendrogram of depositional contexts from Khao Toh Chong, showing a hierarchical cluster analysis of ICP-AES results of sediment samples" id="1" name="Picture"/>
            <a:graphic>
              <a:graphicData uri="http://schemas.openxmlformats.org/drawingml/2006/picture">
                <pic:pic>
                  <pic:nvPicPr>
                    <pic:cNvPr descr="../figures/denroelements-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depositional contexts from Khao Toh Chong, showing a hierarchical cluster analysis of ICP-AES results of sediment samples</w:t>
      </w:r>
    </w:p>
    <w:p>
      <w:pPr>
        <w:pStyle w:val="Heading4"/>
      </w:pPr>
      <w:bookmarkStart w:id="43" w:name="inductively-coupled-plasma-atomic-emission-spectrometry"/>
      <w:bookmarkEnd w:id="43"/>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4"/>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NA</w:t>
            </w:r>
          </w:p>
        </w:tc>
        <w:tc>
          <w:p>
            <w:pPr>
              <w:pStyle w:val="Compact"/>
              <w:jc w:val="right"/>
            </w:pPr>
            <w:r>
              <w:t xml:space="preserve">NA</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NA</w:t>
            </w:r>
          </w:p>
        </w:tc>
        <w:tc>
          <w:p>
            <w:pPr>
              <w:pStyle w:val="Compact"/>
              <w:jc w:val="right"/>
            </w:pPr>
            <w:r>
              <w:t xml:space="preserve">NA</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NA</w:t>
            </w:r>
          </w:p>
        </w:tc>
        <w:tc>
          <w:p>
            <w:pPr>
              <w:pStyle w:val="Compact"/>
              <w:jc w:val="right"/>
            </w:pPr>
            <w:r>
              <w:t xml:space="preserve">NA</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6" w:name="material-culture"/>
      <w:bookmarkEnd w:id="46"/>
      <w:r>
        <w:t xml:space="preserve">Material culture</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recovered, indicating on-site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vertical displacement due to trampling and frequent wetting and drying of the deposits. Frequent episodes of wetting and drying are indicated by the extensive decomposition of fossil pollen and macrbotanical remains. However, disturbance is not a significant factor at KTC as supported by the mineralogical and sediment particle size data. Similar depositional processes occurred at Spirit Cave in northern Thailand (Gorman 1970). For example, radiocarbon dating of residues on ceramics from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w:t>
      </w:r>
    </w:p>
    <w:p>
      <w:pPr>
        <w:pStyle w:val="BodyText"/>
      </w:pPr>
      <w:r>
        <w:t xml:space="preserve">The archaeological sequence at KTC shows signs of change over time, similar to the geoarchaeological sequence described above, indicating that disturbance has not been so extensive as to completely erase time-ordering of artefacts in the deposits. The stone artefact technology changes from to large flaked cores and flakes made from coarse-grained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w:t>
            </w:r>
          </w:p>
        </w:tc>
        <w:tc>
          <w:p>
            <w:pPr>
              <w:pStyle w:val="Compact"/>
              <w:jc w:val="left"/>
            </w:pPr>
            <w:r>
              <w:t xml:space="preserve">5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w:t>
            </w:r>
          </w:p>
        </w:tc>
        <w:tc>
          <w:p>
            <w:pPr>
              <w:pStyle w:val="Compact"/>
              <w:jc w:val="left"/>
            </w:pPr>
            <w:r>
              <w:t xml:space="preserve">21 (1)</w:t>
            </w:r>
          </w:p>
        </w:tc>
        <w:tc>
          <w:p>
            <w:pPr>
              <w:pStyle w:val="Compact"/>
              <w:jc w:val="left"/>
            </w:pPr>
            <w:r>
              <w:t xml:space="preserve">1 (1)</w:t>
            </w:r>
          </w:p>
        </w:tc>
        <w:tc>
          <w:p>
            <w:pPr>
              <w:pStyle w:val="Compact"/>
              <w:jc w:val="left"/>
            </w:pPr>
            <w:r>
              <w:t xml:space="preserve">43 (1)</w:t>
            </w:r>
          </w:p>
        </w:tc>
        <w:tc>
          <w:p>
            <w:pPr>
              <w:pStyle w:val="Compact"/>
              <w:jc w:val="left"/>
            </w:pPr>
            <w:r>
              <w:t xml:space="preserve">17 (1)</w:t>
            </w:r>
          </w:p>
        </w:tc>
        <w:tc>
          <w:p>
            <w:pPr>
              <w:pStyle w:val="Compact"/>
              <w:jc w:val="left"/>
            </w:pPr>
            <w:r>
              <w:t xml:space="preserve">11 (1)</w:t>
            </w:r>
          </w:p>
        </w:tc>
        <w:tc>
          <w:p>
            <w:pPr>
              <w:pStyle w:val="Compact"/>
              <w:jc w:val="left"/>
            </w:pPr>
            <w:r>
              <w:t xml:space="preserve">43 (2)</w:t>
            </w:r>
          </w:p>
        </w:tc>
        <w:tc>
          <w:p>
            <w:pPr>
              <w:pStyle w:val="Compact"/>
              <w:jc w:val="left"/>
            </w:pPr>
            <w:r>
              <w:t xml:space="preserve">32 (1)</w:t>
            </w:r>
          </w:p>
        </w:tc>
        <w:tc>
          <w:p>
            <w:pPr>
              <w:pStyle w:val="Compact"/>
              <w:jc w:val="left"/>
            </w:pPr>
            <w:r>
              <w:t xml:space="preserve">4 (1)</w:t>
            </w:r>
          </w:p>
        </w:tc>
        <w:tc>
          <w:p>
            <w:pPr>
              <w:pStyle w:val="Compact"/>
              <w:jc w:val="left"/>
            </w:pPr>
            <w:r>
              <w:t xml:space="preserve">43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1 (1)</w:t>
            </w:r>
          </w:p>
        </w:tc>
        <w:tc>
          <w:p>
            <w:pPr>
              <w:pStyle w:val="Compact"/>
              <w:jc w:val="left"/>
            </w:pPr>
            <w:r>
              <w:t xml:space="preserve">0 (0)</w:t>
            </w:r>
          </w:p>
        </w:tc>
        <w:tc>
          <w:p>
            <w:pPr>
              <w:pStyle w:val="Compact"/>
              <w:jc w:val="left"/>
            </w:pPr>
            <w:r>
              <w:t xml:space="preserve">3 (1)</w:t>
            </w:r>
          </w:p>
        </w:tc>
        <w:tc>
          <w:p>
            <w:pPr>
              <w:pStyle w:val="Compact"/>
              <w:jc w:val="left"/>
            </w:pPr>
            <w:r>
              <w:t xml:space="preserve">7 (1)</w:t>
            </w:r>
          </w:p>
        </w:tc>
        <w:tc>
          <w:p>
            <w:pPr>
              <w:pStyle w:val="Compact"/>
              <w:jc w:val="left"/>
            </w:pPr>
            <w:r>
              <w:t xml:space="preserve">6 (1)</w:t>
            </w:r>
          </w:p>
        </w:tc>
        <w:tc>
          <w:p>
            <w:pPr>
              <w:pStyle w:val="Compact"/>
              <w:jc w:val="left"/>
            </w:pPr>
            <w:r>
              <w:t xml:space="preserve">14 (1)</w:t>
            </w:r>
          </w:p>
        </w:tc>
        <w:tc>
          <w:p>
            <w:pPr>
              <w:pStyle w:val="Compact"/>
              <w:jc w:val="left"/>
            </w:pPr>
            <w:r>
              <w:t xml:space="preserve">2 (1)</w:t>
            </w:r>
          </w:p>
        </w:tc>
        <w:tc>
          <w:p>
            <w:pPr>
              <w:pStyle w:val="Compact"/>
              <w:jc w:val="left"/>
            </w:pPr>
            <w:r>
              <w:t xml:space="preserve">2 (1)</w:t>
            </w:r>
          </w:p>
        </w:tc>
        <w:tc>
          <w:p>
            <w:pPr>
              <w:pStyle w:val="Compact"/>
              <w:jc w:val="left"/>
            </w:pPr>
            <w:r>
              <w:t xml:space="preserve">4 (1)</w:t>
            </w:r>
          </w:p>
        </w:tc>
        <w:tc>
          <w:p>
            <w:pPr>
              <w:pStyle w:val="Compact"/>
              <w:jc w:val="left"/>
            </w:pPr>
            <w:r>
              <w:t xml:space="preserve">39 (8)</w:t>
            </w:r>
          </w:p>
        </w:tc>
      </w:tr>
      <w:tr>
        <w:tc>
          <w:p>
            <w:pPr>
              <w:pStyle w:val="Compact"/>
              <w:jc w:val="left"/>
            </w:pPr>
            <w:r>
              <w:t xml:space="preserve">Pythonidae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w:t>
            </w:r>
          </w:p>
        </w:tc>
        <w:tc>
          <w:p>
            <w:pPr>
              <w:pStyle w:val="Compact"/>
              <w:jc w:val="left"/>
            </w:pPr>
            <w:r>
              <w:t xml:space="preserve">2 (1)</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6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1 (1)</w:t>
            </w:r>
          </w:p>
        </w:tc>
        <w:tc>
          <w:p>
            <w:pPr>
              <w:pStyle w:val="Compact"/>
              <w:jc w:val="left"/>
            </w:pPr>
            <w:r>
              <w:t xml:space="preserve">2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r>
      <w:tr>
        <w:tc>
          <w:p>
            <w:pPr>
              <w:pStyle w:val="Compact"/>
              <w:jc w:val="left"/>
            </w:pPr>
            <w:r>
              <w:t xml:space="preserve">Rodentia</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(1)</w:t>
            </w:r>
          </w:p>
        </w:tc>
        <w:tc>
          <w:p>
            <w:pPr>
              <w:pStyle w:val="Compact"/>
              <w:jc w:val="left"/>
            </w:pPr>
            <w:r>
              <w:t xml:space="preserve">0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3 (1)</w:t>
            </w:r>
          </w:p>
        </w:tc>
        <w:tc>
          <w:p>
            <w:pPr>
              <w:pStyle w:val="Compact"/>
              <w:jc w:val="left"/>
            </w:pPr>
            <w:r>
              <w:t xml:space="preserve">5 (2)</w:t>
            </w:r>
          </w:p>
        </w:tc>
      </w:tr>
      <w:tr>
        <w:tc>
          <w:p>
            <w:pPr>
              <w:pStyle w:val="Compact"/>
              <w:jc w:val="left"/>
            </w:pPr>
            <w:r>
              <w:t xml:space="preserve">Bovinae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29 (4)</w:t>
            </w:r>
          </w:p>
        </w:tc>
        <w:tc>
          <w:p>
            <w:pPr>
              <w:pStyle w:val="Compact"/>
              <w:jc w:val="left"/>
            </w:pPr>
            <w:r>
              <w:t xml:space="preserve">1 (1)</w:t>
            </w:r>
          </w:p>
        </w:tc>
        <w:tc>
          <w:p>
            <w:pPr>
              <w:pStyle w:val="Compact"/>
              <w:jc w:val="left"/>
            </w:pPr>
            <w:r>
              <w:t xml:space="preserve">54 (5)</w:t>
            </w:r>
          </w:p>
        </w:tc>
        <w:tc>
          <w:p>
            <w:pPr>
              <w:pStyle w:val="Compact"/>
              <w:jc w:val="left"/>
            </w:pPr>
            <w:r>
              <w:t xml:space="preserve">24 (2)</w:t>
            </w:r>
          </w:p>
        </w:tc>
        <w:tc>
          <w:p>
            <w:pPr>
              <w:pStyle w:val="Compact"/>
              <w:jc w:val="left"/>
            </w:pPr>
            <w:r>
              <w:t xml:space="preserve">17 (2)</w:t>
            </w:r>
          </w:p>
        </w:tc>
        <w:tc>
          <w:p>
            <w:pPr>
              <w:pStyle w:val="Compact"/>
              <w:jc w:val="left"/>
            </w:pPr>
            <w:r>
              <w:t xml:space="preserve">60 (6)</w:t>
            </w:r>
          </w:p>
        </w:tc>
        <w:tc>
          <w:p>
            <w:pPr>
              <w:pStyle w:val="Compact"/>
              <w:jc w:val="left"/>
            </w:pPr>
            <w:r>
              <w:t xml:space="preserve">52 (9)</w:t>
            </w:r>
          </w:p>
        </w:tc>
        <w:tc>
          <w:p>
            <w:pPr>
              <w:pStyle w:val="Compact"/>
              <w:jc w:val="left"/>
            </w:pPr>
            <w:r>
              <w:t xml:space="preserve">9 (4)</w:t>
            </w:r>
          </w:p>
        </w:tc>
        <w:tc>
          <w:p>
            <w:pPr>
              <w:pStyle w:val="Compact"/>
              <w:jc w:val="left"/>
            </w:pPr>
            <w:r>
              <w:t xml:space="preserve">58 (8)</w:t>
            </w:r>
          </w:p>
        </w:tc>
        <w:tc>
          <w:p>
            <w:pPr>
              <w:pStyle w:val="Compact"/>
              <w:jc w:val="left"/>
            </w:pPr>
            <w:r>
              <w:t xml:space="preserve">304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Amblemidae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66 (0)</w:t>
            </w:r>
          </w:p>
        </w:tc>
        <w:tc>
          <w:p>
            <w:pPr>
              <w:pStyle w:val="Compact"/>
              <w:jc w:val="left"/>
            </w:pPr>
            <w:r>
              <w:t xml:space="preserve">191 (0)</w:t>
            </w:r>
          </w:p>
        </w:tc>
        <w:tc>
          <w:p>
            <w:pPr>
              <w:pStyle w:val="Compact"/>
              <w:jc w:val="left"/>
            </w:pPr>
            <w:r>
              <w:t xml:space="preserve">18 (0)</w:t>
            </w:r>
          </w:p>
        </w:tc>
        <w:tc>
          <w:p>
            <w:pPr>
              <w:pStyle w:val="Compact"/>
              <w:jc w:val="left"/>
            </w:pPr>
            <w:r>
              <w:t xml:space="preserve">367 (0)</w:t>
            </w:r>
          </w:p>
        </w:tc>
        <w:tc>
          <w:p>
            <w:pPr>
              <w:pStyle w:val="Compact"/>
              <w:jc w:val="left"/>
            </w:pPr>
            <w:r>
              <w:t xml:space="preserve">1 (1)</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Ampullariidae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2 (3)</w:t>
            </w:r>
          </w:p>
        </w:tc>
        <w:tc>
          <w:p>
            <w:pPr>
              <w:pStyle w:val="Compact"/>
              <w:jc w:val="left"/>
            </w:pPr>
            <w:r>
              <w:t xml:space="preserve">0 (0)</w:t>
            </w:r>
          </w:p>
        </w:tc>
        <w:tc>
          <w:p>
            <w:pPr>
              <w:pStyle w:val="Compact"/>
              <w:jc w:val="left"/>
            </w:pPr>
            <w:r>
              <w:t xml:space="preserve">3 (3)</w:t>
            </w:r>
          </w:p>
        </w:tc>
        <w:tc>
          <w:p>
            <w:pPr>
              <w:pStyle w:val="Compact"/>
              <w:jc w:val="left"/>
            </w:pPr>
            <w:r>
              <w:t xml:space="preserve">7 (7)</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Arcidae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11 (11)</w:t>
            </w:r>
          </w:p>
        </w:tc>
      </w:tr>
      <w:tr>
        <w:tc>
          <w:p>
            <w:pPr>
              <w:pStyle w:val="Compact"/>
              <w:jc w:val="left"/>
            </w:pPr>
            <w:r>
              <w:t xml:space="preserve">Corbiculidae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71 (71)</w:t>
            </w:r>
          </w:p>
        </w:tc>
      </w:tr>
      <w:tr>
        <w:tc>
          <w:p>
            <w:pPr>
              <w:pStyle w:val="Compact"/>
              <w:jc w:val="left"/>
            </w:pPr>
            <w:r>
              <w:t xml:space="preserve">Cyclophoridae</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12 (1)</w:t>
            </w:r>
          </w:p>
        </w:tc>
        <w:tc>
          <w:p>
            <w:pPr>
              <w:pStyle w:val="Compact"/>
              <w:jc w:val="left"/>
            </w:pPr>
            <w:r>
              <w:t xml:space="preserve">20 (28)</w:t>
            </w:r>
          </w:p>
        </w:tc>
        <w:tc>
          <w:p>
            <w:pPr>
              <w:pStyle w:val="Compact"/>
              <w:jc w:val="left"/>
            </w:pPr>
            <w:r>
              <w:t xml:space="preserve">5 (5)</w:t>
            </w:r>
          </w:p>
        </w:tc>
        <w:tc>
          <w:p>
            <w:pPr>
              <w:pStyle w:val="Compact"/>
              <w:jc w:val="left"/>
            </w:pPr>
            <w:r>
              <w:t xml:space="preserve">27 (30)</w:t>
            </w:r>
          </w:p>
        </w:tc>
        <w:tc>
          <w:p>
            <w:pPr>
              <w:pStyle w:val="Compact"/>
              <w:jc w:val="left"/>
            </w:pPr>
            <w:r>
              <w:t xml:space="preserve">27 (27)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11 (11)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Muricidae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71 (52)</w:t>
            </w:r>
          </w:p>
        </w:tc>
        <w:tc>
          <w:p>
            <w:pPr>
              <w:pStyle w:val="Compact"/>
              <w:jc w:val="left"/>
            </w:pPr>
            <w:r>
              <w:t xml:space="preserve">115 (82)</w:t>
            </w:r>
          </w:p>
        </w:tc>
        <w:tc>
          <w:p>
            <w:pPr>
              <w:pStyle w:val="Compact"/>
              <w:jc w:val="left"/>
            </w:pPr>
            <w:r>
              <w:t xml:space="preserve">3390 (1584)</w:t>
            </w:r>
          </w:p>
        </w:tc>
        <w:tc>
          <w:p>
            <w:pPr>
              <w:pStyle w:val="Compact"/>
              <w:jc w:val="left"/>
            </w:pPr>
            <w:r>
              <w:t xml:space="preserve">545 (2215)</w:t>
            </w:r>
          </w:p>
        </w:tc>
        <w:tc>
          <w:p>
            <w:pPr>
              <w:pStyle w:val="Compact"/>
              <w:jc w:val="left"/>
            </w:pPr>
            <w:r>
              <w:t xml:space="preserve">583 (771)</w:t>
            </w:r>
          </w:p>
        </w:tc>
        <w:tc>
          <w:p>
            <w:pPr>
              <w:pStyle w:val="Compact"/>
              <w:jc w:val="left"/>
            </w:pPr>
            <w:r>
              <w:t xml:space="preserve">4846 (4846)</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1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14 (14)</w:t>
            </w:r>
          </w:p>
        </w:tc>
      </w:tr>
      <w:tr>
        <w:tc>
          <w:p>
            <w:pPr>
              <w:pStyle w:val="Compact"/>
              <w:jc w:val="left"/>
            </w:pPr>
            <w:r>
              <w:t xml:space="preserve">Neritidae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(2)</w:t>
            </w:r>
          </w:p>
        </w:tc>
        <w:tc>
          <w:p>
            <w:pPr>
              <w:pStyle w:val="Compact"/>
              <w:jc w:val="left"/>
            </w:pPr>
            <w:r>
              <w:t xml:space="preserve">0 (4)</w:t>
            </w:r>
          </w:p>
        </w:tc>
        <w:tc>
          <w:p>
            <w:pPr>
              <w:pStyle w:val="Compact"/>
              <w:jc w:val="left"/>
            </w:pPr>
            <w:r>
              <w:t xml:space="preserve">0 (0)</w:t>
            </w:r>
          </w:p>
        </w:tc>
        <w:tc>
          <w:p>
            <w:pPr>
              <w:pStyle w:val="Compact"/>
              <w:jc w:val="left"/>
            </w:pPr>
            <w:r>
              <w:t xml:space="preserve">13 (12)</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5 (2)</w:t>
            </w:r>
          </w:p>
        </w:tc>
        <w:tc>
          <w:p>
            <w:pPr>
              <w:pStyle w:val="Compact"/>
              <w:jc w:val="left"/>
            </w:pPr>
            <w:r>
              <w:t xml:space="preserve">3 (3)</w:t>
            </w:r>
          </w:p>
        </w:tc>
        <w:tc>
          <w:p>
            <w:pPr>
              <w:pStyle w:val="Compact"/>
              <w:jc w:val="left"/>
            </w:pPr>
            <w:r>
              <w:t xml:space="preserve">3 (5)</w:t>
            </w:r>
          </w:p>
        </w:tc>
        <w:tc>
          <w:p>
            <w:pPr>
              <w:pStyle w:val="Compact"/>
              <w:jc w:val="left"/>
            </w:pPr>
            <w:r>
              <w:t xml:space="preserve">3 (3)</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5 (2)</w:t>
            </w:r>
          </w:p>
        </w:tc>
        <w:tc>
          <w:p>
            <w:pPr>
              <w:pStyle w:val="Compact"/>
              <w:jc w:val="left"/>
            </w:pPr>
            <w:r>
              <w:t xml:space="preserve">11 (10)</w:t>
            </w:r>
          </w:p>
        </w:tc>
        <w:tc>
          <w:p>
            <w:pPr>
              <w:pStyle w:val="Compact"/>
              <w:jc w:val="left"/>
            </w:pPr>
            <w:r>
              <w:t xml:space="preserve">5 (9)</w:t>
            </w:r>
          </w:p>
        </w:tc>
        <w:tc>
          <w:p>
            <w:pPr>
              <w:pStyle w:val="Compact"/>
              <w:jc w:val="left"/>
            </w:pPr>
            <w:r>
              <w:t xml:space="preserve">2 (2)</w:t>
            </w:r>
          </w:p>
        </w:tc>
        <w:tc>
          <w:p>
            <w:pPr>
              <w:pStyle w:val="Compact"/>
              <w:jc w:val="left"/>
            </w:pPr>
            <w:r>
              <w:t xml:space="preserve">2 (2)</w:t>
            </w:r>
          </w:p>
        </w:tc>
        <w:tc>
          <w:p>
            <w:pPr>
              <w:pStyle w:val="Compact"/>
              <w:jc w:val="left"/>
            </w:pPr>
            <w:r>
              <w:t xml:space="preserve">4 (0)</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(6)</w:t>
            </w:r>
          </w:p>
        </w:tc>
        <w:tc>
          <w:p>
            <w:pPr>
              <w:pStyle w:val="Compact"/>
              <w:jc w:val="left"/>
            </w:pPr>
            <w:r>
              <w:t xml:space="preserve">0 (3)</w:t>
            </w:r>
          </w:p>
        </w:tc>
        <w:tc>
          <w:p>
            <w:pPr>
              <w:pStyle w:val="Compact"/>
              <w:jc w:val="left"/>
            </w:pPr>
            <w:r>
              <w:t xml:space="preserve">2 (2)</w:t>
            </w:r>
          </w:p>
        </w:tc>
        <w:tc>
          <w:p>
            <w:pPr>
              <w:pStyle w:val="Compact"/>
              <w:jc w:val="left"/>
            </w:pPr>
            <w:r>
              <w:t xml:space="preserve">10 (0)</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3 (2)</w:t>
            </w:r>
          </w:p>
        </w:tc>
        <w:tc>
          <w:p>
            <w:pPr>
              <w:pStyle w:val="Compact"/>
              <w:jc w:val="left"/>
            </w:pPr>
            <w:r>
              <w:t xml:space="preserve">3 (3)</w:t>
            </w:r>
          </w:p>
        </w:tc>
        <w:tc>
          <w:p>
            <w:pPr>
              <w:pStyle w:val="Compact"/>
              <w:jc w:val="left"/>
            </w:pPr>
            <w:r>
              <w:t xml:space="preserve">5 (4)</w:t>
            </w:r>
          </w:p>
        </w:tc>
        <w:tc>
          <w:p>
            <w:pPr>
              <w:pStyle w:val="Compact"/>
              <w:jc w:val="left"/>
            </w:pPr>
            <w:r>
              <w:t xml:space="preserve">0 (2)</w:t>
            </w:r>
          </w:p>
        </w:tc>
        <w:tc>
          <w:p>
            <w:pPr>
              <w:pStyle w:val="Compact"/>
              <w:jc w:val="left"/>
            </w:pPr>
            <w:r>
              <w:t xml:space="preserve">0 (0)</w:t>
            </w:r>
          </w:p>
        </w:tc>
        <w:tc>
          <w:p>
            <w:pPr>
              <w:pStyle w:val="Compact"/>
              <w:jc w:val="left"/>
            </w:pPr>
            <w:r>
              <w:t xml:space="preserve">643 (0)</w:t>
            </w:r>
          </w:p>
        </w:tc>
      </w:tr>
      <w:tr>
        <w:tc>
          <w:p>
            <w:pPr>
              <w:pStyle w:val="Compact"/>
              <w:jc w:val="left"/>
            </w:pPr>
            <w:r>
              <w:t xml:space="preserve">Viviparidae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93 (58)</w:t>
            </w:r>
          </w:p>
        </w:tc>
        <w:tc>
          <w:p>
            <w:pPr>
              <w:pStyle w:val="Compact"/>
              <w:jc w:val="left"/>
            </w:pPr>
            <w:r>
              <w:t xml:space="preserve">221 (110)</w:t>
            </w:r>
          </w:p>
        </w:tc>
        <w:tc>
          <w:p>
            <w:pPr>
              <w:pStyle w:val="Compact"/>
              <w:jc w:val="left"/>
            </w:pPr>
            <w:r>
              <w:t xml:space="preserve">3643 (1647)</w:t>
            </w:r>
          </w:p>
        </w:tc>
        <w:tc>
          <w:p>
            <w:pPr>
              <w:pStyle w:val="Compact"/>
              <w:jc w:val="left"/>
            </w:pPr>
            <w:r>
              <w:t xml:space="preserve">574 (2234)</w:t>
            </w:r>
          </w:p>
        </w:tc>
        <w:tc>
          <w:p>
            <w:pPr>
              <w:pStyle w:val="Compact"/>
              <w:jc w:val="left"/>
            </w:pPr>
            <w:r>
              <w:t xml:space="preserve">988 (815)</w:t>
            </w:r>
          </w:p>
        </w:tc>
        <w:tc>
          <w:p>
            <w:pPr>
              <w:pStyle w:val="Compact"/>
              <w:jc w:val="left"/>
            </w:pPr>
            <w:r>
              <w:t xml:space="preserve">5687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0.000</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7" w:name="zooarchaeology"/>
      <w:bookmarkEnd w:id="47"/>
      <w:r>
        <w:t xml:space="preserve">Zooarchaeology</w:t>
      </w:r>
    </w:p>
    <w:p>
      <w:pPr>
        <w:pStyle w:val="FirstParagraph"/>
      </w:pPr>
      <w:r>
        <w:t xml:space="preserve">Mammalian abundance and distribution at the rockshelter throughout the Late 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 Pleistocene and Early Holocene period suggests that a more open and drier forest habitat surrounded the rockshelter during that time (Francis 2008).</w:t>
      </w:r>
    </w:p>
    <w:p>
      <w:pPr>
        <w:pStyle w:val="BodyText"/>
      </w:pPr>
      <w:r>
        <w:t xml:space="preserve">The values for dietary evenness per context, of the mammalian, reptilian, and fish taxa appear to be driven primarily by the presence or absence of carapace elements (Van Vlack 2014). Carapace recovered at KTC likely belong to the Order Testudines and represents species of the turtle Family Trionychidae and Geoemyidae. This identification is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Testudines elements. Overall, the presence of vertebrate remains was relatively low when compared to the abundance of invertebrate remains at the rockshelter. Artiodactyls are notably restricted to the Late Pleistocene and Early Holocene deposits.</w:t>
      </w:r>
    </w:p>
    <w:p>
      <w:pPr>
        <w:pStyle w:val="BodyText"/>
      </w:pPr>
      <w:r>
        <w:t xml:space="preserve">Of the identified invertebrates, nine taxa were identified to the species level while an additional fourteen were identified to a broader degree of taxonomy (Table</w:t>
      </w:r>
      <w:r>
        <w:t xml:space="preserve"> </w:t>
      </w:r>
      <w:r>
        <w:t xml:space="preserve">8</w:t>
      </w:r>
      <w:r>
        <w:t xml:space="preserve">). Mollusk species richness varies between 0-11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 Pleistocene and Early Holocene. When combined with shells from the Family Amblemidae and Cyclophoridae, these three taxa account for 97% of the identified mollusks at KTC (Conrad et al. 2013).</w:t>
      </w:r>
    </w:p>
    <w:p>
      <w:pPr>
        <w:pStyle w:val="BodyText"/>
      </w:pPr>
      <w:r>
        <w:t xml:space="preserve">For all identified fauna, MNI and logNISP values for each context are strongly correlated (r = 0.647, df = 7, p = 0.06), indicating that the rate of fragmentation is constant (Lyman 2008). Ecological indices of taxonomic diversity and evenness vary over time, suggesting complexities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8" w:name="discussion"/>
      <w:bookmarkEnd w:id="48"/>
      <w:r>
        <w:t xml:space="preserve">Discussion</w:t>
      </w:r>
    </w:p>
    <w:p>
      <w:pPr>
        <w:pStyle w:val="Heading3"/>
      </w:pPr>
      <w:bookmarkStart w:id="49" w:name="geoarchaeology-1"/>
      <w:bookmarkEnd w:id="49"/>
      <w:r>
        <w:t xml:space="preserve">Geoarchaeology</w:t>
      </w:r>
    </w:p>
    <w:p>
      <w:pPr>
        <w:pStyle w:val="FirstParagraph"/>
      </w:pPr>
      <w:r>
        <w:t xml:space="preserve">The general picture of the geoarchaeological data is one of subtle, mostly uncoordinated changes in the variables we measured. That said, there are some important correlations that aid the interpretation of the palaeoenvironmental context of the site. We interpret this as indicative of relatively constant conditions of deposition, without homogenising processes that would have erased the trends we see in the geoarchaeological variables. The sediment texture suggests a mixture of aeolian, colluvial and fluvial inputs, typical of cave and rockshelter deposits in the tropics (cf. Westaway et al. 2009). Sediment composition varies little over time, as indicated by the measurements of organic matter, carbonates and pH in the bulk samples, and the ICP-AES data.</w:t>
      </w:r>
    </w:p>
    <w:p>
      <w:pPr>
        <w:pStyle w:val="BodyText"/>
      </w:pPr>
      <w:r>
        <w:t xml:space="preserve">Visual inspection of the stratigraphic plot of the KTC data suggests that the magnetic susceptibility frequency dependency values of track mean particle size more closely than they track low frequency magnetic susceptibility. This indicates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KTC deposits (Table</w:t>
      </w:r>
      <w:r>
        <w:t xml:space="preserve"> </w:t>
      </w:r>
      <w:r>
        <w:t xml:space="preserve">2</w:t>
      </w:r>
      <w:r>
        <w:t xml:space="preserve">). A negative correlation can be explained by a negligible contribution from</w:t>
      </w:r>
      <w:r>
        <w:t xml:space="preserve"> </w:t>
      </w:r>
      <w:r>
        <w:rPr>
          <w:i/>
        </w:rPr>
        <w:t xml:space="preserve">in situ</w:t>
      </w:r>
      <w:r>
        <w:t xml:space="preserve"> </w:t>
      </w:r>
      <w:r>
        <w:t xml:space="preserve">pedogenesis toward enriching magnetic susceptibility. This suggests that the enhancement of susceptibility may have occured off-site, rather than through</w:t>
      </w:r>
      <w:r>
        <w:t xml:space="preserve"> </w:t>
      </w:r>
      <w:r>
        <w:rPr>
          <w:i/>
        </w:rPr>
        <w:t xml:space="preserve">in situ</w:t>
      </w:r>
      <w:r>
        <w:t xml:space="preserve"> </w:t>
      </w:r>
      <w:r>
        <w:t xml:space="preserve">processes in the deposit. If the magnetic susceptibility signal is not coupled to anthropogenic burning at the site, as suggested by the the relationship between mean particle size and frequency dependency, the high susceptibility values at 0.40 m below surface (c. 4-5 k cal. BP) may indicate warmer/wetter conditions. One possible mechanism linking higher sediment magnetic susceptibility values to warmer/wetter conditions has been suggested by Ellwood et al. (1997). They propose that higher magnetic susceptibility values might result from increased production of maghemite due to higher pedogenetic rates on the landscape, with enriched sediments washing into and forming site deposits. At KTC see signals of increased site use through artefact discard rates, peaking in contexts 4 and 5. If the mechanism of Ellwood et al. (1997) is plausible, this increase in site use may reflect people seeking shelter during warmer/wetter conditions. Further analyses with remanence (e.g. HIRM, SIRM) measurements will improve our understanding of these relationships.</w:t>
      </w:r>
    </w:p>
    <w:p>
      <w:pPr>
        <w:pStyle w:val="BodyText"/>
      </w:pPr>
      <w:r>
        <w:t xml:space="preserve">Carbon isotope values indicate a consistent dominance of C</w:t>
      </w:r>
      <w:r>
        <w:rPr>
          <w:vertAlign w:val="subscript"/>
        </w:rPr>
        <w:t xml:space="preserve">3</w:t>
      </w:r>
      <w:r>
        <w:t xml:space="preserve"> </w:t>
      </w:r>
      <w:r>
        <w:t xml:space="preserve">plants in the local environment over time, similar to the present-day environment. The small monotonic depletion in carbon isotope values throughout the Holocene suggests that the deposit has some stratigraphic integrity, despite the anomalously deep finds of ceramics. The depletion in carbon isotope values may be due to several factors, including changes in the ratio of C</w:t>
      </w:r>
      <w:r>
        <w:rPr>
          <w:vertAlign w:val="subscript"/>
        </w:rPr>
        <w:t xml:space="preserve">3</w:t>
      </w:r>
      <w:r>
        <w:t xml:space="preserve"> </w:t>
      </w:r>
      <w:r>
        <w:t xml:space="preserve">and C</w:t>
      </w:r>
      <w:r>
        <w:rPr>
          <w:vertAlign w:val="subscript"/>
        </w:rPr>
        <w:t xml:space="preserve">4</w:t>
      </w:r>
      <w:r>
        <w:t xml:space="preserve"> </w:t>
      </w:r>
      <w:r>
        <w:t xml:space="preserve">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As SOM values increase, the carbon isotope values become increasingly depleted. This is the opposite of what is usually expected when SOM is the primary mechanism controlling carbon isotope values in shallow deposits such as KTC, because SOM often enriches δ</w:t>
      </w:r>
      <w:r>
        <w:rPr>
          <w:vertAlign w:val="superscript"/>
        </w:rPr>
        <w:t xml:space="preserve">13</w:t>
      </w:r>
      <w:r>
        <w:t xml:space="preserve">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w:t>
      </w:r>
      <w:r>
        <w:rPr>
          <w:vertAlign w:val="subscript"/>
        </w:rPr>
        <w:t xml:space="preserve">4</w:t>
      </w:r>
      <w:r>
        <w:t xml:space="preserve">/C</w:t>
      </w:r>
      <w:r>
        <w:rPr>
          <w:vertAlign w:val="subscript"/>
        </w:rPr>
        <w:t xml:space="preserve">3</w:t>
      </w:r>
      <w:r>
        <w:t xml:space="preserve"> </w:t>
      </w:r>
      <w:r>
        <w:t xml:space="preserve">plants on the landscape, indicating increasingly dry conditions in more recent periods.</w:t>
      </w:r>
    </w:p>
    <w:p>
      <w:pPr>
        <w:pStyle w:val="BodyText"/>
      </w:pPr>
      <w:r>
        <w:t xml:space="preserve">Aridity and temperature are important factors in controlling this ratio, but their exact relationships vary from region to region (Pagani et al. 1999; Huang et al. 2001; Schefuβ et al. 2003; Zhang et al. 2003). C</w:t>
      </w:r>
      <w:r>
        <w:rPr>
          <w:vertAlign w:val="subscript"/>
        </w:rPr>
        <w:t xml:space="preserve">4</w:t>
      </w:r>
      <w:r>
        <w:t xml:space="preserve"> </w:t>
      </w:r>
      <w:r>
        <w:t xml:space="preserve">photosynthesis is often associated with warm-season precipitation, dry/hot environments, and high light intensities because C</w:t>
      </w:r>
      <w:r>
        <w:rPr>
          <w:vertAlign w:val="subscript"/>
        </w:rPr>
        <w:t xml:space="preserve">4</w:t>
      </w:r>
      <w:r>
        <w:t xml:space="preserve"> </w:t>
      </w:r>
      <w:r>
        <w:t xml:space="preserve">plants are more efficient than C</w:t>
      </w:r>
      <w:r>
        <w:rPr>
          <w:vertAlign w:val="subscript"/>
        </w:rPr>
        <w:t xml:space="preserve">3</w:t>
      </w:r>
      <w:r>
        <w:t xml:space="preserve"> </w:t>
      </w:r>
      <w:r>
        <w:t xml:space="preserve">species in their use of water, light, and nitrogen (Sage 1999; Pagani et al. 1999). This means that C</w:t>
      </w:r>
      <w:r>
        <w:rPr>
          <w:vertAlign w:val="subscript"/>
        </w:rPr>
        <w:t xml:space="preserve">3</w:t>
      </w:r>
      <w:r>
        <w:t xml:space="preserve"> </w:t>
      </w:r>
      <w:r>
        <w:t xml:space="preserve">plants are favored over C</w:t>
      </w:r>
      <w:r>
        <w:rPr>
          <w:vertAlign w:val="subscript"/>
        </w:rPr>
        <w:t xml:space="preserve">4</w:t>
      </w:r>
      <w:r>
        <w:t xml:space="preserve"> </w:t>
      </w:r>
      <w:r>
        <w:t xml:space="preserve">plants at times of lower temperature and winter precipitation or during periods of decreased East Asian summer monsoon strength. In the upper 0.2 m, around 3-2 k cal BP, at KTC we see increasingly depleted δ</w:t>
      </w:r>
      <w:r>
        <w:rPr>
          <w:vertAlign w:val="superscript"/>
        </w:rPr>
        <w:t xml:space="preserve">13</w:t>
      </w:r>
      <w:r>
        <w:t xml:space="preserve">C values, suggesting a reduction in C</w:t>
      </w:r>
      <w:r>
        <w:rPr>
          <w:vertAlign w:val="subscript"/>
        </w:rPr>
        <w:t xml:space="preserve">4</w:t>
      </w:r>
      <w:r>
        <w:t xml:space="preserve"> </w:t>
      </w:r>
      <w:r>
        <w:t xml:space="preserve">plants as a result of cooler and dryer conditions relative to the Early Holocene. This is consistent with cooler/dryer conditions indicated by a decrease in magnetic susceptibility occurring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Carbon isotope values of leaf wax n-alkanes may help to overcome these ambiguities because these are more diagnostic than those from bulk sediments, which contain materials of both terrestrial and aquatic origin.</w:t>
      </w:r>
    </w:p>
    <w:p>
      <w:pPr>
        <w:pStyle w:val="BodyText"/>
      </w:pPr>
      <w:r>
        <w:t xml:space="preserve">The magnetic susceptibility and carbon isotope data indicate a transition from warmer/wetter conditions at 5-4 k cal. BP to dryer conditions around 3-2 k cal. BP. There are very few nearby comparable records spanning this period, but our interpretations are consisitent with a strong Asian summer monsoon in the Early Holocene, and weakening into the Middle and Late Holocene (Cook and Jones 2012). Lake sediment sequences from northeast Thailand indicate peak Holocene wetness slightly earlier than KTC, at around 7 k and 6.6 k cal. BP, followed by dry conditions between 5.4 k and 4 k cal. BP (Wohlfarth et al. 2016; Chabangborn and Wohlfarth 2014). There are multiple long hiatuses in the northeast Thailand sequences between c. 6.4 k and 1.8 k cal. BP (Wohlfarth et al. 2016), and climate proxies from this period are complicated by inputs resulting from humans burning forests and cultivating crops (White et al. 2004; Kealhofer and Penny 1998). Hydrogen isotope data shows that moisture availability was low around 2.7-2.3 k cal. BP, and macroscopic charcoal was high between approximately 3.5 k and 2.1 k cal. BP (Wohlfarth et al. 2016). However, some caution may be required with these results because the Wohlfarth et al. (2016) hydrogen isotope summary does not appear to account for the potential of atmospheric exchange between the sample location and analysis lab (see Chawchai et al. 2016). Regardless, these signals are consistent with the dryer conditions observed at 3-2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analysis. If these were correlated, it might suggest episodes of soil formation on the landscape surrounding the site. Thus, we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context 1 of trench B, and trench A's contexts 4, 7U and 7L are notable because they are relatively enriched with Ca and Mg, but this is not correlated with carbonates measured by loss on ignition. Overall, the element distributions suggest low variation over time. This homogeneity in the composition of the deposits is consistent with a single source of sediment throughout the history of site formation at KTC.</w:t>
      </w:r>
    </w:p>
    <w:p>
      <w:pPr>
        <w:pStyle w:val="Heading3"/>
      </w:pPr>
      <w:bookmarkStart w:id="50" w:name="zooarchaeological-assemblage"/>
      <w:bookmarkEnd w:id="50"/>
      <w:r>
        <w:t xml:space="preserve">Zooarchaeological assemblage</w:t>
      </w:r>
    </w:p>
    <w:p>
      <w:pPr>
        <w:pStyle w:val="FirstParagraph"/>
      </w:pPr>
      <w:r>
        <w:t xml:space="preserve">KTC rockshelter has a relatively undisturbed mammalian, reptilian, fish, and molluscan assemblage. Of the taxa recovered at KTC, the riparian fauna is the best indicator of changing forager behavior during the "missing millennia," highlighting the environmental constraints on resource availability.</w:t>
      </w:r>
      <w:r>
        <w:t xml:space="preserve"> </w:t>
      </w:r>
      <w:r>
        <w:rPr>
          <w:i/>
        </w:rPr>
        <w:t xml:space="preserve">Neoradina prasongi</w:t>
      </w:r>
      <w:r>
        <w:t xml:space="preserve"> </w:t>
      </w:r>
      <w:r>
        <w:t xml:space="preserve">shells constitute the bulk of molluscan food waste in the archaeological assemblage. These gastropods inhabit fresh water stream environments (Brandt 1974), which were likely close in proximity to the rockshelter during this time. Peak discard rates for</w:t>
      </w:r>
      <w:r>
        <w:t xml:space="preserve"> </w:t>
      </w:r>
      <w:r>
        <w:rPr>
          <w:i/>
        </w:rPr>
        <w:t xml:space="preserve">N. prasongi</w:t>
      </w:r>
      <w:r>
        <w:t xml:space="preserve"> </w:t>
      </w:r>
      <w:r>
        <w:t xml:space="preserve">at KTC occurred at c. 9 k cal BP, suggesting that the most intensive use of the rockshelter for subsistence purposes occurred during the Early Holocene. The abundant turtle or tortoise remains at KTC also suggest that fresh water stream habitats were found near the site. Since KTC was close in proximity to a number of other cave and rockshelter sites with relatively similar chronological and subsistence regimes, it is possible that foragers in this region employed a complex mobility strategy to access fresh water resources and shelter (Brantingham 1991; Conrad et al. 2016; Mheetong 2014; Rabett and Barker 2010; Shoocongdej 2000).</w:t>
      </w:r>
    </w:p>
    <w:p>
      <w:pPr>
        <w:pStyle w:val="BodyText"/>
      </w:pPr>
      <w:r>
        <w:t xml:space="preserve">A decline in freshwater</w:t>
      </w:r>
      <w:r>
        <w:t xml:space="preserve"> </w:t>
      </w:r>
      <w:r>
        <w:rPr>
          <w:i/>
        </w:rPr>
        <w:t xml:space="preserve">N. prasongi</w:t>
      </w:r>
      <w:r>
        <w:t xml:space="preserve"> </w:t>
      </w:r>
      <w:r>
        <w:t xml:space="preserve">mollusk exploitation occurred in the Holocene, reaching a minimum at 6 k cal BP. Two possibilities may explain this decline; either there is a regional ecological shift from freshwater to mangrove swamp habitats, or changes in the foraging behaviours of prehistoric groups (Shoocongdej 2000, 2010). The timing of the lowest amount of shells in the deposit coincides with the peak sea levels, as noted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 Holocene may be associated with the emergence of rice agriculture and farming in mainland Southeast (Castillo 2011; Fuller 2011; White et al. 2004). Thus, declines in mollusk utilization may reflect a pattern of rising sea levels. The mechanism here may be a reduction in the availability of suitable mollusk procurement locations, favoring the adoption of agriculture during the Mid and Late Holocene in Peninsular Thailand as a response to these sea level changes. Shell exploitation picks up again at KTC at c. 3 k cal BP, coincident with the regressive phase at 3.7 k to 2.7 k cal. BP described by Sinsakul (1992). This is also when site use changes, with more frequent visits suggested by peaks in the discard of ceramics and lithics.</w:t>
      </w:r>
    </w:p>
    <w:p>
      <w:pPr>
        <w:pStyle w:val="BodyText"/>
      </w:pPr>
      <w:r>
        <w:t xml:space="preserve">Our data from KTC not only suggest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may have occurred, not during the terminal Pleistocene (Bulbeck 2003; Conrad 2015). The earlier peak in the molluscan assemblage at KTC suggests that a different pattern of shellfish exploitation occurred here. We link this pattern to local environmental conditions controlled by sea level changes (see also Van Vlack 2014:79-96). Further afield, we find that KTC is very similar to Bubog I and II in the Philippines (Pawlik et al. 2014), where there is a transition from exploiting mangrove invertebrate species (due to lowered sea levels and increased mangrove habitats) during the Late Pleistocene to an exploitation of brackish and shallow marine invertebrate species during the Early Holocene, when sea levels rise and inundate the mangroves. By the Mid Holocene the invertebrates at Bubog I an II are almost entirely marine species, indicating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palynological signatures of disrupted forest successions are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foragers occupying KTC, their pursuit of alternative resources initiated a distinct trajectory of economic change (cf.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1" w:name="conclusion"/>
      <w:bookmarkEnd w:id="51"/>
      <w:r>
        <w:t xml:space="preserve">Conclusion</w:t>
      </w:r>
    </w:p>
    <w:p>
      <w:pPr>
        <w:pStyle w:val="FirstParagraph"/>
      </w:pPr>
      <w:r>
        <w:t xml:space="preserve">Archaeological 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rockshelter and Moh Khiew cave.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 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2003:80; Maloney 1999). During this time, more arboreal taxa were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recognized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k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are consistent with a long trajectory of land management leading to full-time agriculture in the Late Holocene. Unlike northeast Thailand where Wohlfarth et al. (2016) link archaeological sequences to regional summer monsoon patterns, the changes we have observed at KTC in southern Thailand are more closely tied to fluctuations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2" w:name="acknowledgments"/>
      <w:bookmarkEnd w:id="52"/>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e and catalogue the finds. Thanks to Rodrigo Solinis Casparius, Pat Goodwin, David Hunt, Julia Malakie, Heather McAuley, Sherri Middleton, Hanyu Song, and Joss Whittaker for their assistance with the geoarchaeological laboratory analysis. Thanks to Tuesday Kuykendall at the UW MS&amp;E XRD lab, Kyle Samek in the UW ESS IsoLab, and Dan Penny at the University of Sydney, Camperdown. Funding was provided by an ACLS/Luce Foundation grant to Peter Lape (University of Washington), an International Provost grant to BM from the University of Washington Office of the Provost, and an Australian Research Council Future Fellowship to BM (FT140100101). Thanks to the editors of this collection for their feedback on earlier drafts.</w:t>
      </w:r>
    </w:p>
    <w:p>
      <w:pPr>
        <w:pStyle w:val="Heading2"/>
      </w:pPr>
      <w:bookmarkStart w:id="53" w:name="references"/>
      <w:bookmarkEnd w:id="53"/>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Thailand.</w:t>
      </w:r>
      <w:r>
        <w:t xml:space="preserve"> </w:t>
      </w:r>
      <w:r>
        <w:rPr>
          <w:i/>
        </w:rPr>
        <w:t xml:space="preserve">Arch. Molluskenkunde.</w:t>
      </w:r>
      <w:r>
        <w:t xml:space="preserve"> </w:t>
      </w:r>
      <w:r>
        <w:t xml:space="preserve">105, 1-423.</w:t>
      </w:r>
    </w:p>
    <w:p>
      <w:pPr>
        <w:pStyle w:val="BodyText"/>
      </w:pPr>
      <w:r>
        <w:t xml:space="preserve">Brantingham, P.J. (1991). Astride the Movius Line: Pleistocene Lithic Technological Variability in Northeast Asia. PhD. Dissertation, Department of Anthropology, University of Arizona, Tuscon.</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Chawchai, S., Yamoah, K.A., Smittenberg, R.H., Kurkela, J., Valiranta, M., Chabangborn, A., Blaauw, M., Fritz, S.C., Reimer, P. and Wohlfarth, B. (2016). LakeKumphawapi revisited - The complex climate and environmental record of a tropical wetland in NE Thailand.</w:t>
      </w:r>
      <w:r>
        <w:t xml:space="preserve"> </w:t>
      </w:r>
      <w:r>
        <w:rPr>
          <w:i/>
        </w:rPr>
        <w:t xml:space="preserve">The Holocene</w:t>
      </w:r>
      <w:r>
        <w:t xml:space="preserve"> </w:t>
      </w:r>
      <w:r>
        <w:t xml:space="preserve">26(4): 614-626.</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(2015). Archaeozoology in Mainland Southeast Asia: Changing Methodology and Pleistocene to Holocene Forager Subsistence Patterns in Thailand and Penisular Malaysia. Open Quaternary 1(7):1-23.</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Conrad, C., Higham, C., Eda, M. and Marwick, B. (2016). Palaeoecology and Forager Subsistence Strategies during the Pleistocene-Holocene Transition: A Reinvestigation of the Zooarchaeological Assemblage from Spirit Cave, Mae Hong Son Province, Thailand.</w:t>
      </w:r>
      <w:r>
        <w:t xml:space="preserve"> </w:t>
      </w:r>
      <w:r>
        <w:rPr>
          <w:i/>
        </w:rPr>
        <w:t xml:space="preserve">Asian Perspectives</w:t>
      </w:r>
      <w:r>
        <w:t xml:space="preserve"> </w:t>
      </w:r>
      <w:r>
        <w:t xml:space="preserve">55(1): 2-27.</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(1970).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(2014). Early Mainland Southeast Asian: From First Humans to Angkor. River Books, Bangkok.</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Hutterer, K. L., (1976). "An evolutionary approach to the Southeast Asian cultural sequence." Current Anthropology: 221-242.</w:t>
      </w:r>
    </w:p>
    <w:p>
      <w:pPr>
        <w:pStyle w:val="BodyText"/>
      </w:pPr>
      <w:r>
        <w:t xml:space="preserve">Jobbágy, E. G. , and R. B. Jackson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Kahle, D and H. Wickham. (2013). ggmap: Spatial Visualization with ggplot2. The R Journal, 5: 144–162</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Llyod-Smith, L.R. (2014). Death in the Landscape: The Locality of Ancestors in Neolithic Island Southeast Asia. In</w:t>
      </w:r>
      <w:r>
        <w:t xml:space="preserve"> </w:t>
      </w:r>
      <w:r>
        <w:rPr>
          <w:i/>
        </w:rPr>
        <w:t xml:space="preserve">Living in the Landscape: Essays in Honour of Graeme Barker</w:t>
      </w:r>
      <w:r>
        <w:t xml:space="preserve"> </w:t>
      </w:r>
      <w:r>
        <w:t xml:space="preserve">(eds. Boyle, Katherine, Ryan J. Rabett and Chris O. Hunt). McDonald Institute for Archaeological Research, Cambridge.</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4">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Mheetong, S. (2014). An Analysis of Reptile from an Excavation at Moh Khiew Cave, Krabi Province. Unpublished M.A. Thesis, Department of Archaeology, Silpakorn University, Bangkok, Thailand.</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Moser, J. (2001). Hoabinhian: Geographie und Chronologie eines steinzeitlichen Technokomplexes in Sudostasien. Linden Soft: Koln.</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and Barker, G. (2010). Late Pleistocene and Early Holocene Forager Mobility in Southeast Asia. In</w:t>
      </w:r>
      <w:r>
        <w:t xml:space="preserve"> </w:t>
      </w:r>
      <w:r>
        <w:rPr>
          <w:i/>
        </w:rPr>
        <w:t xml:space="preserve">50 Years of Archaeological in Southeast Asia: Essays in Honour of Ian Glover</w:t>
      </w:r>
      <w:r>
        <w:t xml:space="preserve"> </w:t>
      </w:r>
      <w:r>
        <w:t xml:space="preserve">(eds. Berenice Bellina, Elizabeth A Bacus, Thomas Oliver Pryce, and Jan Wisseman Christie). River Books, Bangkok.</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5">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Published M.A. Thesis, Department of Anthropology, San José State University. ProQuest ID: 1622150080.</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J.C. (1995). Modeling the Development of Early Rice Agriculture: Ethnoecological Perspectives from Northeast Thailand. Asian Perspectives 34(1):37-68.</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BodyText"/>
      </w:pPr>
      <w:r>
        <w:t xml:space="preserve">This report was generated on 2016-10-25 14:47:09 using the following computational environment and dependencies:</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2016-10-25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Bchron         4.2.4      2016-07-26 CRAN (R 3.3.1)                     </w:t>
      </w:r>
      <w:r>
        <w:br w:type="textWrapping"/>
      </w:r>
      <w:r>
        <w:rPr>
          <w:rStyle w:val="VerbatimChar"/>
        </w:rPr>
        <w:t xml:space="preserve">##  bookdown       0.1.1      2016-08-03 Github (rstudio/bookdown@902a670)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coda           0.18-1     2015-10-16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0.4-1      2016-05-08 CRAN (R 3.3.1)                     </w:t>
      </w:r>
      <w:r>
        <w:br w:type="textWrapping"/>
      </w:r>
      <w:r>
        <w:rPr>
          <w:rStyle w:val="VerbatimChar"/>
        </w:rPr>
        <w:t xml:space="preserve">##  devtools       1.12.0     2016-06-24 CRAN (R 3.3.1)                     </w:t>
      </w:r>
      <w:r>
        <w:br w:type="textWrapping"/>
      </w:r>
      <w:r>
        <w:rPr>
          <w:rStyle w:val="VerbatimChar"/>
        </w:rPr>
        <w:t xml:space="preserve">##  digest         0.6.9      2016-01-08 CRAN (R 3.3.1)                     </w:t>
      </w:r>
      <w:r>
        <w:br w:type="textWrapping"/>
      </w:r>
      <w:r>
        <w:rPr>
          <w:rStyle w:val="VerbatimChar"/>
        </w:rPr>
        <w:t xml:space="preserve">##  dplyr        * 0.5.0.9000 2016-08-03 Github (hadley/dplyr@8b28b0b)      </w:t>
      </w:r>
      <w:r>
        <w:br w:type="textWrapping"/>
      </w:r>
      <w:r>
        <w:rPr>
          <w:rStyle w:val="VerbatimChar"/>
        </w:rPr>
        <w:t xml:space="preserve">##  ellipse        0.3-8      2013-04-13 CRAN (R 3.3.1)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G2Sd           2.1.5      2015-12-07 CRAN (R 3.3.1)                     </w:t>
      </w:r>
      <w:r>
        <w:br w:type="textWrapping"/>
      </w:r>
      <w:r>
        <w:rPr>
          <w:rStyle w:val="VerbatimChar"/>
        </w:rPr>
        <w:t xml:space="preserve">##  geosphere      1.5-5      2016-06-15 CRAN (R 3.3.1)                     </w:t>
      </w:r>
      <w:r>
        <w:br w:type="textWrapping"/>
      </w:r>
      <w:r>
        <w:rPr>
          <w:rStyle w:val="VerbatimChar"/>
        </w:rPr>
        <w:t xml:space="preserve">##  ggmap          2.6.1      2016-01-23 CRAN (R 3.3.1)                     </w:t>
      </w:r>
      <w:r>
        <w:br w:type="textWrapping"/>
      </w:r>
      <w:r>
        <w:rPr>
          <w:rStyle w:val="VerbatimChar"/>
        </w:rPr>
        <w:t xml:space="preserve">##  ggplot2        2.1.0      2016-03-01 CRAN (R 3.3.1)                     </w:t>
      </w:r>
      <w:r>
        <w:br w:type="textWrapping"/>
      </w:r>
      <w:r>
        <w:rPr>
          <w:rStyle w:val="VerbatimChar"/>
        </w:rPr>
        <w:t xml:space="preserve">##  gridExtra      2.2.1      2016-08-03 Github (baptiste/gridextra@478a7d2)</w:t>
      </w:r>
      <w:r>
        <w:br w:type="textWrapping"/>
      </w:r>
      <w:r>
        <w:rPr>
          <w:rStyle w:val="VerbatimChar"/>
        </w:rPr>
        <w:t xml:space="preserve">##  gtable         0.2.0      2016-02-26 CRAN (R 3.3.1)                     </w:t>
      </w:r>
      <w:r>
        <w:br w:type="textWrapping"/>
      </w:r>
      <w:r>
        <w:rPr>
          <w:rStyle w:val="VerbatimChar"/>
        </w:rPr>
        <w:t xml:space="preserve">##  hdrcde         3.1        2013-10-19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inline         0.3.14     2015-04-13 CRAN (R 3.3.1)                     </w:t>
      </w:r>
      <w:r>
        <w:br w:type="textWrapping"/>
      </w:r>
      <w:r>
        <w:rPr>
          <w:rStyle w:val="VerbatimChar"/>
        </w:rPr>
        <w:t xml:space="preserve">##  jpeg           0.1-8      2014-01-23 CRAN (R 3.3.0)                     </w:t>
      </w:r>
      <w:r>
        <w:br w:type="textWrapping"/>
      </w:r>
      <w:r>
        <w:rPr>
          <w:rStyle w:val="VerbatimChar"/>
        </w:rPr>
        <w:t xml:space="preserve">##  knitr        * 1.14       2016-08-13 CRAN (R 3.3.1)                     </w:t>
      </w:r>
      <w:r>
        <w:br w:type="textWrapping"/>
      </w:r>
      <w:r>
        <w:rPr>
          <w:rStyle w:val="VerbatimChar"/>
        </w:rPr>
        <w:t xml:space="preserve">##  ktc11        * 0.1        2016-09-15 local                              </w:t>
      </w:r>
      <w:r>
        <w:br w:type="textWrapping"/>
      </w:r>
      <w:r>
        <w:rPr>
          <w:rStyle w:val="VerbatimChar"/>
        </w:rPr>
        <w:t xml:space="preserve">##  lattice        0.20-33    2015-07-14 CRAN (R 3.3.1)                     </w:t>
      </w:r>
      <w:r>
        <w:br w:type="textWrapping"/>
      </w:r>
      <w:r>
        <w:rPr>
          <w:rStyle w:val="VerbatimChar"/>
        </w:rPr>
        <w:t xml:space="preserve">##  latticeExtra   0.6-28     2016-02-09 CRAN (R 3.3.1)                     </w:t>
      </w:r>
      <w:r>
        <w:br w:type="textWrapping"/>
      </w:r>
      <w:r>
        <w:rPr>
          <w:rStyle w:val="VerbatimChar"/>
        </w:rPr>
        <w:t xml:space="preserve">##  legendMap      1.0        2016-08-03 Github (3wen/legendMap@707f00c)    </w:t>
      </w:r>
      <w:r>
        <w:br w:type="textWrapping"/>
      </w:r>
      <w:r>
        <w:rPr>
          <w:rStyle w:val="VerbatimChar"/>
        </w:rPr>
        <w:t xml:space="preserve">##  magrittr       1.5        2014-11-22 CRAN (R 3.3.1)                     </w:t>
      </w:r>
      <w:r>
        <w:br w:type="textWrapping"/>
      </w:r>
      <w:r>
        <w:rPr>
          <w:rStyle w:val="VerbatimChar"/>
        </w:rPr>
        <w:t xml:space="preserve">##  mapproj        1.2-4      2015-08-03 CRAN (R 3.3.1)                     </w:t>
      </w:r>
      <w:r>
        <w:br w:type="textWrapping"/>
      </w:r>
      <w:r>
        <w:rPr>
          <w:rStyle w:val="VerbatimChar"/>
        </w:rPr>
        <w:t xml:space="preserve">##  maps           3.1.1      2016-07-27 CRAN (R 3.3.1)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3.3.1)                     </w:t>
      </w:r>
      <w:r>
        <w:br w:type="textWrapping"/>
      </w:r>
      <w:r>
        <w:rPr>
          <w:rStyle w:val="VerbatimChar"/>
        </w:rPr>
        <w:t xml:space="preserve">##  memoise        1.0.0      2016-01-29 CRAN (R 3.3.1)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0.9-0      2016-01-24 CRAN (R 3.3.1)                     </w:t>
      </w:r>
      <w:r>
        <w:br w:type="textWrapping"/>
      </w:r>
      <w:r>
        <w:rPr>
          <w:rStyle w:val="VerbatimChar"/>
        </w:rPr>
        <w:t xml:space="preserve">##  plyr           1.8.4      2016-06-08 CRAN (R 3.3.1)                     </w:t>
      </w:r>
      <w:r>
        <w:br w:type="textWrapping"/>
      </w:r>
      <w:r>
        <w:rPr>
          <w:rStyle w:val="VerbatimChar"/>
        </w:rPr>
        <w:t xml:space="preserve">##  png            0.1-7      2013-12-03 CRAN (R 3.3.0)                     </w:t>
      </w:r>
      <w:r>
        <w:br w:type="textWrapping"/>
      </w:r>
      <w:r>
        <w:rPr>
          <w:rStyle w:val="VerbatimChar"/>
        </w:rPr>
        <w:t xml:space="preserve">##  proto          0.3-10     2012-12-22 CRAN (R 3.3.0)                     </w:t>
      </w:r>
      <w:r>
        <w:br w:type="textWrapping"/>
      </w:r>
      <w:r>
        <w:rPr>
          <w:rStyle w:val="VerbatimChar"/>
        </w:rPr>
        <w:t xml:space="preserve">##  R6             2.1.2      2016-01-26 CRAN (R 3.3.1)                     </w:t>
      </w:r>
      <w:r>
        <w:br w:type="textWrapping"/>
      </w:r>
      <w:r>
        <w:rPr>
          <w:rStyle w:val="VerbatimChar"/>
        </w:rPr>
        <w:t xml:space="preserve">##  RColorBrewer   1.1-2      2014-12-07 CRAN (R 3.3.0)                     </w:t>
      </w:r>
      <w:r>
        <w:br w:type="textWrapping"/>
      </w:r>
      <w:r>
        <w:rPr>
          <w:rStyle w:val="VerbatimChar"/>
        </w:rPr>
        <w:t xml:space="preserve">##  Rcpp           0.12.6     2016-07-19 CRAN (R 3.3.1)                     </w:t>
      </w:r>
      <w:r>
        <w:br w:type="textWrapping"/>
      </w:r>
      <w:r>
        <w:rPr>
          <w:rStyle w:val="VerbatimChar"/>
        </w:rPr>
        <w:t xml:space="preserve">##  readr          0.2.2      2015-10-22 CRAN (R 3.3.1)                     </w:t>
      </w:r>
      <w:r>
        <w:br w:type="textWrapping"/>
      </w:r>
      <w:r>
        <w:rPr>
          <w:rStyle w:val="VerbatimChar"/>
        </w:rPr>
        <w:t xml:space="preserve">##  reshape2       1.4.1      2014-12-06 CRAN (R 3.3.1)                     </w:t>
      </w:r>
      <w:r>
        <w:br w:type="textWrapping"/>
      </w:r>
      <w:r>
        <w:rPr>
          <w:rStyle w:val="VerbatimChar"/>
        </w:rPr>
        <w:t xml:space="preserve">##  RgoogleMaps    1.2.0.7    2015-01-21 CRAN (R 3.3.1)                     </w:t>
      </w:r>
      <w:r>
        <w:br w:type="textWrapping"/>
      </w:r>
      <w:r>
        <w:rPr>
          <w:rStyle w:val="VerbatimChar"/>
        </w:rPr>
        <w:t xml:space="preserve">##  rJava          0.9-8      2016-01-07 CRAN (R 3.3.0)                     </w:t>
      </w:r>
      <w:r>
        <w:br w:type="textWrapping"/>
      </w:r>
      <w:r>
        <w:rPr>
          <w:rStyle w:val="VerbatimChar"/>
        </w:rPr>
        <w:t xml:space="preserve">##  rjson          0.2.15     2014-11-03 CRAN (R 3.3.0)                     </w:t>
      </w:r>
      <w:r>
        <w:br w:type="textWrapping"/>
      </w:r>
      <w:r>
        <w:rPr>
          <w:rStyle w:val="VerbatimChar"/>
        </w:rPr>
        <w:t xml:space="preserve">##  RJSONIO        1.3-0      2014-07-28 CRAN (R 3.3.0)                     </w:t>
      </w:r>
      <w:r>
        <w:br w:type="textWrapping"/>
      </w:r>
      <w:r>
        <w:rPr>
          <w:rStyle w:val="VerbatimChar"/>
        </w:rPr>
        <w:t xml:space="preserve">##  rmarkdown      1.1        2016-10-16 CRAN (R 3.3.1)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0.13.2     2016-03-28 CRAN (R 3.3.1)                     </w:t>
      </w:r>
      <w:r>
        <w:br w:type="textWrapping"/>
      </w:r>
      <w:r>
        <w:rPr>
          <w:rStyle w:val="VerbatimChar"/>
        </w:rPr>
        <w:t xml:space="preserve">##  sp             1.2-3      2016-04-14 CRAN (R 3.3.1)                     </w:t>
      </w:r>
      <w:r>
        <w:br w:type="textWrapping"/>
      </w:r>
      <w:r>
        <w:rPr>
          <w:rStyle w:val="VerbatimChar"/>
        </w:rPr>
        <w:t xml:space="preserve">##  stringi        1.1.1      2016-05-27 CRAN (R 3.3.0)                     </w:t>
      </w:r>
      <w:r>
        <w:br w:type="textWrapping"/>
      </w:r>
      <w:r>
        <w:rPr>
          <w:rStyle w:val="VerbatimChar"/>
        </w:rPr>
        <w:t xml:space="preserve">##  stringr        1.0.0      2015-04-30 CRAN (R 3.3.1)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0.5.1      2016-06-14 CRAN (R 3.3.1)                     </w:t>
      </w:r>
      <w:r>
        <w:br w:type="textWrapping"/>
      </w:r>
      <w:r>
        <w:rPr>
          <w:rStyle w:val="VerbatimChar"/>
        </w:rPr>
        <w:t xml:space="preserve">##  vegan          2.4-0      2016-06-15 CRAN (R 3.3.1)                     </w:t>
      </w:r>
      <w:r>
        <w:br w:type="textWrapping"/>
      </w:r>
      <w:r>
        <w:rPr>
          <w:rStyle w:val="VerbatimChar"/>
        </w:rPr>
        <w:t xml:space="preserve">##  withr          1.0.2      2016-06-20 CRAN (R 3.3.1)                     </w:t>
      </w:r>
      <w:r>
        <w:br w:type="textWrapping"/>
      </w:r>
      <w:r>
        <w:rPr>
          <w:rStyle w:val="VerbatimChar"/>
        </w:rPr>
        <w:t xml:space="preserve">##  xlsx           0.5.7      2014-08-02 CRAN (R 3.3.0)                     </w:t>
      </w:r>
      <w:r>
        <w:br w:type="textWrapping"/>
      </w:r>
      <w:r>
        <w:rPr>
          <w:rStyle w:val="VerbatimChar"/>
        </w:rPr>
        <w:t xml:space="preserve">##  xlsxjars       0.6.1      2014-08-22 CRAN (R 3.3.0)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fbef7e4a2dd12573e40307c4150b3ff7bb8f8f4b, which is on the hgvanvlack-patch-1 branch and was made by Ben Marwick on 2016-10-25 14:46:49. The current commit message is "second resubmit".</w:t>
      </w:r>
    </w:p>
    <w:sectPr w:rsidR="00047336" w:rsidSect="00CB687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4C34E9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EC6704F"/>
    <w:multiLevelType w:val="multilevel"/>
    <w:tmpl w:val="04D609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9452a3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B687C"/>
    <w:pPr>
      <w:keepNext/>
      <w:keepLines/>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CB687C"/>
    <w:pPr>
      <w:keepNext/>
      <w:keepLines/>
      <w:spacing w:before="200" w:after="0"/>
      <w:outlineLvl w:val="1"/>
    </w:pPr>
    <w:rPr>
      <w:rFonts w:ascii="Times New Roman" w:eastAsiaTheme="majorEastAsia" w:hAnsi="Times New Roman" w:cstheme="majorBidi"/>
      <w:bCs/>
      <w:sz w:val="28"/>
      <w:szCs w:val="32"/>
      <w:u w:val="single"/>
    </w:rPr>
  </w:style>
  <w:style w:type="paragraph" w:styleId="Heading3">
    <w:name w:val="heading 3"/>
    <w:basedOn w:val="Normal"/>
    <w:next w:val="BodyText"/>
    <w:uiPriority w:val="9"/>
    <w:unhideWhenUsed/>
    <w:qFormat/>
    <w:rsid w:val="00CB687C"/>
    <w:pPr>
      <w:keepNext/>
      <w:keepLines/>
      <w:spacing w:before="200" w:after="0"/>
      <w:outlineLvl w:val="2"/>
    </w:pPr>
    <w:rPr>
      <w:rFonts w:ascii="Times New Roman" w:eastAsiaTheme="majorEastAsia" w:hAnsi="Times New Roman" w:cstheme="majorBidi"/>
      <w:bCs/>
      <w:sz w:val="28"/>
      <w:szCs w:val="28"/>
    </w:rPr>
  </w:style>
  <w:style w:type="paragraph" w:styleId="Heading4">
    <w:name w:val="heading 4"/>
    <w:basedOn w:val="Normal"/>
    <w:next w:val="BodyText"/>
    <w:uiPriority w:val="9"/>
    <w:unhideWhenUsed/>
    <w:qFormat/>
    <w:rsid w:val="00CB687C"/>
    <w:pPr>
      <w:keepNext/>
      <w:keepLines/>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B687C"/>
    <w:pPr>
      <w:spacing w:before="180" w:after="180"/>
    </w:pPr>
    <w:rPr>
      <w:rFonts w:ascii="Times New Roman" w:hAnsi="Times New Roman"/>
    </w:rPr>
  </w:style>
  <w:style w:type="paragraph" w:customStyle="1" w:styleId="FirstParagraph">
    <w:name w:val="First Paragraph"/>
    <w:basedOn w:val="BodyText"/>
    <w:next w:val="BodyText"/>
    <w:qFormat/>
    <w:rsid w:val="00CB687C"/>
  </w:style>
  <w:style w:type="paragraph" w:customStyle="1" w:styleId="Compact">
    <w:name w:val="Compact"/>
    <w:basedOn w:val="BodyText"/>
    <w:qFormat/>
    <w:rsid w:val="00CB687C"/>
    <w:pPr>
      <w:spacing w:before="36" w:after="36"/>
      <w:jc w:val="right"/>
    </w:pPr>
    <w:rPr>
      <w:rFonts w:ascii="Arial" w:hAnsi="Arial"/>
      <w:sz w:val="20"/>
    </w:rPr>
  </w:style>
  <w:style w:type="paragraph" w:styleId="Title">
    <w:name w:val="Title"/>
    <w:basedOn w:val="Normal"/>
    <w:next w:val="BodyText"/>
    <w:qFormat/>
    <w:rsid w:val="00CB687C"/>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B687C"/>
    <w:pPr>
      <w:keepNext/>
      <w:keepLines/>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CB687C"/>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B687C"/>
    <w:pPr>
      <w:spacing w:after="0"/>
    </w:pPr>
    <w:rPr>
      <w:rFonts w:ascii="Tahoma" w:hAnsi="Tahoma" w:cs="Tahoma"/>
      <w:sz w:val="16"/>
      <w:szCs w:val="16"/>
    </w:rPr>
  </w:style>
  <w:style w:type="character" w:customStyle="1" w:styleId="BalloonTextChar">
    <w:name w:val="Balloon Text Char"/>
    <w:basedOn w:val="DefaultParagraphFont"/>
    <w:link w:val="BalloonText"/>
    <w:rsid w:val="00CB687C"/>
    <w:rPr>
      <w:rFonts w:ascii="Tahoma" w:hAnsi="Tahoma" w:cs="Tahoma"/>
      <w:sz w:val="16"/>
      <w:szCs w:val="16"/>
    </w:rPr>
  </w:style>
  <w:style w:type="table" w:customStyle="1" w:styleId="Style1">
    <w:name w:val="Style1"/>
    <w:basedOn w:val="TableNormal"/>
    <w:uiPriority w:val="99"/>
    <w:rsid w:val="00CB687C"/>
    <w:pPr>
      <w:spacing w:after="0"/>
      <w:jc w:val="right"/>
    </w:pPr>
    <w:rPr>
      <w:rFonts w:ascii="Arial" w:hAnsi="Arial"/>
      <w:sz w:val="20"/>
    </w:rPr>
    <w:tblPr/>
    <w:tcPr>
      <w:vAlign w:val="center"/>
    </w:tcPr>
  </w:style>
  <w:style w:type="character" w:styleId="LineNumber">
    <w:name w:val="line number"/>
    <w:basedOn w:val="DefaultParagraphFont"/>
    <w:rsid w:val="00CB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hyperlink" Id="rId54" Target="doi:10.1007/s10816-015-9272-9" TargetMode="External" /><Relationship Type="http://schemas.openxmlformats.org/officeDocument/2006/relationships/hyperlink" Id="rId55"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4" Target="doi:10.1007/s10816-015-9272-9" TargetMode="External" /><Relationship Type="http://schemas.openxmlformats.org/officeDocument/2006/relationships/hyperlink" Id="rId55"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272</Words>
  <Characters>1557</Characters>
  <Application>Microsoft Office Word</Application>
  <DocSecurity>0</DocSecurity>
  <Lines>12</Lines>
  <Paragraphs>3</Paragraphs>
  <ScaleCrop>false</ScaleCrop>
  <Company>University of Wollongong</Company>
  <LinksUpToDate>false</LinksUpToDate>
  <CharactersWithSpaces>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2016-10-25T21:47:12Z</dcterms:created>
  <dcterms:modified xsi:type="dcterms:W3CDTF">2016-10-25T21:47:12Z</dcterms:modified>
</cp:coreProperties>
</file>